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A5D9E" w14:textId="77777777" w:rsidR="00C22602" w:rsidRDefault="00C22602"/>
    <w:p w14:paraId="49426EC8" w14:textId="4AEAAB32" w:rsidR="00C22602" w:rsidRDefault="00C22602">
      <w:pPr>
        <w:rPr>
          <w:rFonts w:ascii="Lato" w:hAnsi="Lato"/>
          <w:i/>
          <w:iCs/>
          <w:color w:val="007EBE"/>
        </w:rPr>
      </w:pPr>
      <w:r w:rsidRPr="00C22602">
        <w:rPr>
          <w:rFonts w:ascii="Lato" w:hAnsi="Lato"/>
          <w:b/>
          <w:bCs/>
          <w:noProof/>
          <w:color w:val="007EBE"/>
        </w:rPr>
        <w:drawing>
          <wp:anchor distT="0" distB="0" distL="114300" distR="114300" simplePos="0" relativeHeight="251658240" behindDoc="0" locked="0" layoutInCell="1" allowOverlap="1" wp14:anchorId="6CF48D6C" wp14:editId="365FF2AC">
            <wp:simplePos x="0" y="0"/>
            <wp:positionH relativeFrom="margin">
              <wp:posOffset>1990725</wp:posOffset>
            </wp:positionH>
            <wp:positionV relativeFrom="margin">
              <wp:posOffset>-542925</wp:posOffset>
            </wp:positionV>
            <wp:extent cx="1962150" cy="727211"/>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62150" cy="727211"/>
                    </a:xfrm>
                    <a:prstGeom prst="rect">
                      <a:avLst/>
                    </a:prstGeom>
                  </pic:spPr>
                </pic:pic>
              </a:graphicData>
            </a:graphic>
          </wp:anchor>
        </w:drawing>
      </w:r>
      <w:proofErr w:type="spellStart"/>
      <w:r w:rsidRPr="00C22602">
        <w:rPr>
          <w:rFonts w:ascii="Lato" w:hAnsi="Lato"/>
          <w:b/>
          <w:bCs/>
          <w:color w:val="007EBE"/>
        </w:rPr>
        <w:t>Tax</w:t>
      </w:r>
      <w:r w:rsidRPr="00C22602">
        <w:rPr>
          <w:rFonts w:ascii="Lato" w:hAnsi="Lato"/>
          <w:color w:val="007EBE"/>
        </w:rPr>
        <w:t>EDU</w:t>
      </w:r>
      <w:proofErr w:type="spellEnd"/>
      <w:r w:rsidRPr="00C22602">
        <w:rPr>
          <w:rFonts w:ascii="Lato" w:hAnsi="Lato"/>
          <w:color w:val="007EBE"/>
        </w:rPr>
        <w:t xml:space="preserve"> Lesson Plan Supplemental</w:t>
      </w:r>
      <w:r w:rsidRPr="00C22602">
        <w:rPr>
          <w:rFonts w:ascii="Lato" w:hAnsi="Lato"/>
          <w:color w:val="007EBE"/>
        </w:rPr>
        <w:tab/>
      </w:r>
      <w:r w:rsidRPr="00C22602">
        <w:rPr>
          <w:rFonts w:ascii="Lato" w:hAnsi="Lato"/>
          <w:color w:val="007EBE"/>
        </w:rPr>
        <w:tab/>
      </w:r>
      <w:r w:rsidRPr="00C22602">
        <w:rPr>
          <w:rFonts w:ascii="Lato" w:hAnsi="Lato"/>
          <w:color w:val="007EBE"/>
        </w:rPr>
        <w:tab/>
      </w:r>
      <w:r w:rsidRPr="00C22602">
        <w:rPr>
          <w:rFonts w:ascii="Lato" w:hAnsi="Lato"/>
          <w:color w:val="007EBE"/>
        </w:rPr>
        <w:tab/>
      </w:r>
      <w:r w:rsidRPr="00C22602">
        <w:rPr>
          <w:rFonts w:ascii="Lato" w:hAnsi="Lato"/>
          <w:i/>
          <w:iCs/>
          <w:color w:val="007EBE"/>
        </w:rPr>
        <w:t>Average v. Marginal Tax Rates</w:t>
      </w:r>
    </w:p>
    <w:p w14:paraId="2C470DD1" w14:textId="77777777" w:rsidR="009F7D07" w:rsidRDefault="009F7D07">
      <w:pPr>
        <w:rPr>
          <w:rFonts w:ascii="Lato" w:hAnsi="Lato"/>
          <w:b/>
          <w:bCs/>
          <w:color w:val="007EBE"/>
          <w:sz w:val="24"/>
          <w:szCs w:val="24"/>
        </w:rPr>
      </w:pPr>
    </w:p>
    <w:p w14:paraId="772FE232" w14:textId="6793CDB2" w:rsidR="00C22602" w:rsidRPr="00C22602" w:rsidRDefault="00C22602">
      <w:pPr>
        <w:rPr>
          <w:rFonts w:ascii="Lato" w:hAnsi="Lato"/>
          <w:b/>
          <w:bCs/>
          <w:color w:val="007EBE"/>
          <w:sz w:val="24"/>
          <w:szCs w:val="24"/>
        </w:rPr>
      </w:pPr>
      <w:r w:rsidRPr="00C22602">
        <w:rPr>
          <w:rFonts w:ascii="Lato" w:hAnsi="Lato"/>
          <w:b/>
          <w:bCs/>
          <w:color w:val="007EBE"/>
          <w:sz w:val="24"/>
          <w:szCs w:val="24"/>
        </w:rPr>
        <w:t>Terms</w:t>
      </w:r>
    </w:p>
    <w:p w14:paraId="26C84ADB" w14:textId="2B1ABCA8" w:rsidR="00C22602" w:rsidRDefault="00C22602">
      <w:pPr>
        <w:rPr>
          <w:rFonts w:ascii="Lato" w:hAnsi="Lato"/>
          <w:color w:val="000000" w:themeColor="text1"/>
        </w:rPr>
      </w:pPr>
      <w:r w:rsidRPr="00C22602">
        <w:rPr>
          <w:rFonts w:ascii="Lato" w:hAnsi="Lato"/>
          <w:color w:val="007EBE"/>
        </w:rPr>
        <w:t>Average Tax Rate</w:t>
      </w:r>
      <w:r>
        <w:rPr>
          <w:rFonts w:ascii="Lato" w:hAnsi="Lato"/>
          <w:color w:val="000000" w:themeColor="text1"/>
        </w:rPr>
        <w:t xml:space="preserve">: </w:t>
      </w:r>
      <w:r w:rsidRPr="00C22602">
        <w:rPr>
          <w:rFonts w:ascii="Lato" w:hAnsi="Lato"/>
          <w:color w:val="000000" w:themeColor="text1"/>
        </w:rPr>
        <w:t>The average tax rate is the total tax paid divided by taxable income. While marginal tax rates show the amount of tax paid on the next dollar earned, average tax rates show the overall share of income paid in taxes.</w:t>
      </w:r>
    </w:p>
    <w:p w14:paraId="3BC434C0" w14:textId="44802F86" w:rsidR="008E4BBC" w:rsidRDefault="003D24F8">
      <w:pPr>
        <w:rPr>
          <w:rFonts w:ascii="Lato" w:hAnsi="Lato"/>
          <w:color w:val="000000" w:themeColor="text1"/>
        </w:rPr>
      </w:pPr>
      <w:r>
        <w:rPr>
          <w:rFonts w:ascii="Lato" w:hAnsi="Lato"/>
          <w:color w:val="000000" w:themeColor="text1"/>
        </w:rPr>
        <w:t>What it m</w:t>
      </w:r>
      <w:r w:rsidR="008E4BBC">
        <w:rPr>
          <w:rFonts w:ascii="Lato" w:hAnsi="Lato"/>
          <w:color w:val="000000" w:themeColor="text1"/>
        </w:rPr>
        <w:t>easure</w:t>
      </w:r>
      <w:r>
        <w:rPr>
          <w:rFonts w:ascii="Lato" w:hAnsi="Lato"/>
          <w:color w:val="000000" w:themeColor="text1"/>
        </w:rPr>
        <w:t>s</w:t>
      </w:r>
      <w:r w:rsidR="008E4BBC">
        <w:rPr>
          <w:rFonts w:ascii="Lato" w:hAnsi="Lato"/>
          <w:color w:val="000000" w:themeColor="text1"/>
        </w:rPr>
        <w:t>: tax burden</w:t>
      </w:r>
    </w:p>
    <w:p w14:paraId="1261F077" w14:textId="3CE9D0D6" w:rsidR="00540895" w:rsidRDefault="00540895">
      <w:pPr>
        <w:rPr>
          <w:rFonts w:ascii="Lato" w:hAnsi="Lato"/>
          <w:color w:val="007EBE"/>
        </w:rPr>
      </w:pPr>
      <w:r>
        <w:rPr>
          <w:rFonts w:ascii="Lato" w:hAnsi="Lato"/>
          <w:color w:val="007EBE"/>
        </w:rPr>
        <w:t xml:space="preserve">ATR = </w:t>
      </w:r>
      <w:r w:rsidRPr="00540895">
        <w:rPr>
          <w:rFonts w:ascii="Lato" w:hAnsi="Lato"/>
          <w:color w:val="007EBE"/>
        </w:rPr>
        <w:t>TOTAL TAXES PAID ÷ INCOME</w:t>
      </w:r>
    </w:p>
    <w:p w14:paraId="70FD6746" w14:textId="0C82F2A0" w:rsidR="009F7D07" w:rsidRDefault="005769DD">
      <w:pPr>
        <w:rPr>
          <w:rFonts w:ascii="Lato" w:hAnsi="Lato"/>
          <w:color w:val="000000" w:themeColor="text1"/>
        </w:rPr>
      </w:pPr>
      <w:r>
        <w:rPr>
          <w:noProof/>
        </w:rPr>
        <w:drawing>
          <wp:inline distT="0" distB="0" distL="0" distR="0" wp14:anchorId="36394B88" wp14:editId="35A2B305">
            <wp:extent cx="5943600" cy="5558155"/>
            <wp:effectExtent l="0" t="0" r="0" b="4445"/>
            <wp:docPr id="2" name="Picture 2" descr="Tax Basics - How Is Tax Liability Calculated, adjusted gross income, average tax rate, child tax credit, earned income tax credit, individual income tax, itemized deduction, marginal tax rate, standard deduction, tax credit, tax deduction, taxable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x Basics - How Is Tax Liability Calculated, adjusted gross income, average tax rate, child tax credit, earned income tax credit, individual income tax, itemized deduction, marginal tax rate, standard deduction, tax credit, tax deduction, taxable incom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558155"/>
                    </a:xfrm>
                    <a:prstGeom prst="rect">
                      <a:avLst/>
                    </a:prstGeom>
                    <a:noFill/>
                    <a:ln>
                      <a:noFill/>
                    </a:ln>
                  </pic:spPr>
                </pic:pic>
              </a:graphicData>
            </a:graphic>
          </wp:inline>
        </w:drawing>
      </w:r>
    </w:p>
    <w:p w14:paraId="0BC0465C" w14:textId="7BCABBAA" w:rsidR="00C22602" w:rsidRDefault="00C22602">
      <w:pPr>
        <w:rPr>
          <w:rFonts w:ascii="Lato" w:hAnsi="Lato"/>
          <w:color w:val="000000" w:themeColor="text1"/>
        </w:rPr>
      </w:pPr>
      <w:r w:rsidRPr="00C22602">
        <w:rPr>
          <w:rFonts w:ascii="Lato" w:hAnsi="Lato"/>
          <w:color w:val="007EBE"/>
        </w:rPr>
        <w:lastRenderedPageBreak/>
        <w:t>Marginal Tax Rate</w:t>
      </w:r>
      <w:r>
        <w:rPr>
          <w:rFonts w:ascii="Lato" w:hAnsi="Lato"/>
          <w:color w:val="000000" w:themeColor="text1"/>
        </w:rPr>
        <w:t xml:space="preserve">: </w:t>
      </w:r>
      <w:r w:rsidRPr="00C22602">
        <w:rPr>
          <w:rFonts w:ascii="Lato" w:hAnsi="Lato"/>
          <w:color w:val="000000" w:themeColor="text1"/>
        </w:rPr>
        <w:t>The marginal tax rate is the amount of additional tax paid for every </w:t>
      </w:r>
      <w:r w:rsidRPr="00C22602">
        <w:rPr>
          <w:rFonts w:ascii="Lato" w:hAnsi="Lato"/>
          <w:i/>
          <w:iCs/>
          <w:color w:val="000000" w:themeColor="text1"/>
        </w:rPr>
        <w:t>additional</w:t>
      </w:r>
      <w:r w:rsidRPr="00C22602">
        <w:rPr>
          <w:rFonts w:ascii="Lato" w:hAnsi="Lato"/>
          <w:color w:val="000000" w:themeColor="text1"/>
        </w:rPr>
        <w:t xml:space="preserve"> dollar earned as income. A 10 percent marginal tax rate means that 10 cents of every </w:t>
      </w:r>
      <w:r w:rsidRPr="00C22602">
        <w:rPr>
          <w:rFonts w:ascii="Lato" w:hAnsi="Lato"/>
          <w:i/>
          <w:iCs/>
          <w:color w:val="000000" w:themeColor="text1"/>
        </w:rPr>
        <w:t>next dollar earned</w:t>
      </w:r>
      <w:r w:rsidRPr="00C22602">
        <w:rPr>
          <w:rFonts w:ascii="Lato" w:hAnsi="Lato"/>
          <w:color w:val="000000" w:themeColor="text1"/>
        </w:rPr>
        <w:t xml:space="preserve"> would be taken as tax.</w:t>
      </w:r>
    </w:p>
    <w:p w14:paraId="2B8E6D02" w14:textId="1D31EB0C" w:rsidR="00540895" w:rsidRDefault="00540895">
      <w:pPr>
        <w:rPr>
          <w:rFonts w:ascii="Lato" w:hAnsi="Lato"/>
          <w:color w:val="000000" w:themeColor="text1"/>
        </w:rPr>
      </w:pPr>
      <w:r>
        <w:rPr>
          <w:rFonts w:ascii="Lato" w:hAnsi="Lato"/>
          <w:color w:val="000000" w:themeColor="text1"/>
        </w:rPr>
        <w:t xml:space="preserve">There are statutory and effective marginal tax rates. Statutory </w:t>
      </w:r>
      <w:r w:rsidR="002B6E64">
        <w:rPr>
          <w:rFonts w:ascii="Lato" w:hAnsi="Lato"/>
          <w:color w:val="000000" w:themeColor="text1"/>
        </w:rPr>
        <w:t>marginal</w:t>
      </w:r>
      <w:r>
        <w:rPr>
          <w:rFonts w:ascii="Lato" w:hAnsi="Lato"/>
          <w:color w:val="000000" w:themeColor="text1"/>
        </w:rPr>
        <w:t xml:space="preserve"> tax rates do not tell the entire story, whereas effective </w:t>
      </w:r>
      <w:r w:rsidR="002B6E64">
        <w:rPr>
          <w:rFonts w:ascii="Lato" w:hAnsi="Lato"/>
          <w:color w:val="000000" w:themeColor="text1"/>
        </w:rPr>
        <w:t>marginal</w:t>
      </w:r>
      <w:r>
        <w:rPr>
          <w:rFonts w:ascii="Lato" w:hAnsi="Lato"/>
          <w:color w:val="000000" w:themeColor="text1"/>
        </w:rPr>
        <w:t xml:space="preserve"> tax rates </w:t>
      </w:r>
      <w:r w:rsidR="002B6E64">
        <w:rPr>
          <w:rFonts w:ascii="Lato" w:hAnsi="Lato"/>
          <w:color w:val="000000" w:themeColor="text1"/>
        </w:rPr>
        <w:t>account for layers of taxes (example: income tax and payroll tax) and relevant deductions and credits.</w:t>
      </w:r>
    </w:p>
    <w:p w14:paraId="79B8DFC4" w14:textId="40FA8D86" w:rsidR="00C22602" w:rsidRDefault="003D24F8">
      <w:pPr>
        <w:rPr>
          <w:rFonts w:ascii="Lato" w:hAnsi="Lato"/>
          <w:color w:val="000000" w:themeColor="text1"/>
        </w:rPr>
      </w:pPr>
      <w:r>
        <w:rPr>
          <w:rFonts w:ascii="Lato" w:hAnsi="Lato"/>
          <w:color w:val="000000" w:themeColor="text1"/>
        </w:rPr>
        <w:t>What it measures</w:t>
      </w:r>
      <w:r w:rsidR="008E4BBC">
        <w:rPr>
          <w:rFonts w:ascii="Lato" w:hAnsi="Lato"/>
          <w:color w:val="000000" w:themeColor="text1"/>
        </w:rPr>
        <w:t>: impact on incentives to earn, save, invest, or spend</w:t>
      </w:r>
    </w:p>
    <w:p w14:paraId="6BE440BD" w14:textId="77777777" w:rsidR="005A2DCA" w:rsidRDefault="005A2DCA">
      <w:pPr>
        <w:rPr>
          <w:rFonts w:ascii="Lato" w:hAnsi="Lato"/>
          <w:color w:val="000000" w:themeColor="text1"/>
        </w:rPr>
      </w:pPr>
    </w:p>
    <w:p w14:paraId="31E6B2CE" w14:textId="4FE142A8" w:rsidR="00C22602" w:rsidRDefault="00C22602">
      <w:pPr>
        <w:rPr>
          <w:rFonts w:ascii="Lato" w:hAnsi="Lato"/>
          <w:color w:val="000000" w:themeColor="text1"/>
        </w:rPr>
      </w:pPr>
      <w:r>
        <w:rPr>
          <w:rFonts w:ascii="Lato" w:hAnsi="Lato"/>
          <w:b/>
          <w:bCs/>
          <w:color w:val="007EBE"/>
          <w:sz w:val="24"/>
          <w:szCs w:val="24"/>
        </w:rPr>
        <w:t>Key Points</w:t>
      </w:r>
    </w:p>
    <w:p w14:paraId="26FDDCB6" w14:textId="671437B3" w:rsidR="0094509C" w:rsidRPr="0094509C" w:rsidRDefault="0094509C" w:rsidP="0094509C">
      <w:pPr>
        <w:pStyle w:val="ListParagraph"/>
        <w:numPr>
          <w:ilvl w:val="0"/>
          <w:numId w:val="2"/>
        </w:numPr>
        <w:spacing w:line="360" w:lineRule="auto"/>
        <w:rPr>
          <w:rFonts w:ascii="Lato" w:hAnsi="Lato"/>
          <w:color w:val="000000" w:themeColor="text1"/>
        </w:rPr>
      </w:pPr>
      <w:r w:rsidRPr="0094509C">
        <w:rPr>
          <w:rFonts w:ascii="Lato" w:hAnsi="Lato"/>
          <w:color w:val="000000" w:themeColor="text1"/>
        </w:rPr>
        <w:t xml:space="preserve">Marginal tax rates only apply to </w:t>
      </w:r>
      <w:r w:rsidR="003D24F8">
        <w:rPr>
          <w:rFonts w:ascii="Lato" w:hAnsi="Lato"/>
          <w:color w:val="000000" w:themeColor="text1"/>
        </w:rPr>
        <w:t>income</w:t>
      </w:r>
      <w:r w:rsidR="003D24F8" w:rsidRPr="0094509C">
        <w:rPr>
          <w:rFonts w:ascii="Lato" w:hAnsi="Lato"/>
          <w:color w:val="000000" w:themeColor="text1"/>
        </w:rPr>
        <w:t xml:space="preserve"> </w:t>
      </w:r>
      <w:r w:rsidRPr="0094509C">
        <w:rPr>
          <w:rFonts w:ascii="Lato" w:hAnsi="Lato"/>
          <w:color w:val="000000" w:themeColor="text1"/>
        </w:rPr>
        <w:t>above a certain threshold.</w:t>
      </w:r>
    </w:p>
    <w:p w14:paraId="0FC6F795" w14:textId="6DA4CC1F" w:rsidR="00C22602" w:rsidRDefault="0094509C" w:rsidP="0094509C">
      <w:pPr>
        <w:pStyle w:val="ListParagraph"/>
        <w:numPr>
          <w:ilvl w:val="0"/>
          <w:numId w:val="2"/>
        </w:numPr>
        <w:spacing w:line="360" w:lineRule="auto"/>
        <w:rPr>
          <w:rFonts w:ascii="Lato" w:hAnsi="Lato"/>
          <w:color w:val="000000" w:themeColor="text1"/>
        </w:rPr>
      </w:pPr>
      <w:r w:rsidRPr="0094509C">
        <w:rPr>
          <w:rFonts w:ascii="Lato" w:hAnsi="Lato"/>
          <w:color w:val="000000" w:themeColor="text1"/>
        </w:rPr>
        <w:t xml:space="preserve">The average tax rate for individuals is typically lower than the </w:t>
      </w:r>
      <w:r w:rsidR="003D24F8">
        <w:rPr>
          <w:rFonts w:ascii="Lato" w:hAnsi="Lato"/>
          <w:color w:val="000000" w:themeColor="text1"/>
        </w:rPr>
        <w:t xml:space="preserve">top </w:t>
      </w:r>
      <w:r w:rsidRPr="0094509C">
        <w:rPr>
          <w:rFonts w:ascii="Lato" w:hAnsi="Lato"/>
          <w:color w:val="000000" w:themeColor="text1"/>
        </w:rPr>
        <w:t>marginal tax rate.</w:t>
      </w:r>
    </w:p>
    <w:p w14:paraId="2F1A27D4" w14:textId="77777777" w:rsidR="008E4BBC" w:rsidRDefault="0094509C" w:rsidP="0094509C">
      <w:pPr>
        <w:pStyle w:val="ListParagraph"/>
        <w:numPr>
          <w:ilvl w:val="0"/>
          <w:numId w:val="2"/>
        </w:numPr>
        <w:spacing w:line="360" w:lineRule="auto"/>
        <w:rPr>
          <w:rFonts w:ascii="Lato" w:hAnsi="Lato"/>
          <w:color w:val="000000" w:themeColor="text1"/>
        </w:rPr>
      </w:pPr>
      <w:r>
        <w:rPr>
          <w:rFonts w:ascii="Lato" w:hAnsi="Lato"/>
          <w:color w:val="000000" w:themeColor="text1"/>
        </w:rPr>
        <w:t>Not all income is subject to taxation due to tax credits and deductions.</w:t>
      </w:r>
    </w:p>
    <w:p w14:paraId="53211499" w14:textId="2F7494FF" w:rsidR="0094509C" w:rsidRDefault="008E4BBC" w:rsidP="0094509C">
      <w:pPr>
        <w:pStyle w:val="ListParagraph"/>
        <w:numPr>
          <w:ilvl w:val="0"/>
          <w:numId w:val="2"/>
        </w:numPr>
        <w:spacing w:line="360" w:lineRule="auto"/>
        <w:rPr>
          <w:rFonts w:ascii="Lato" w:hAnsi="Lato"/>
          <w:color w:val="000000" w:themeColor="text1"/>
        </w:rPr>
      </w:pPr>
      <w:r>
        <w:rPr>
          <w:rFonts w:ascii="Lato" w:hAnsi="Lato"/>
          <w:color w:val="000000" w:themeColor="text1"/>
        </w:rPr>
        <w:t>A taxpayer’s tax liability is determined by their t</w:t>
      </w:r>
      <w:r w:rsidR="0094509C">
        <w:rPr>
          <w:rFonts w:ascii="Lato" w:hAnsi="Lato"/>
          <w:color w:val="000000" w:themeColor="text1"/>
        </w:rPr>
        <w:t>axable income</w:t>
      </w:r>
      <w:r>
        <w:rPr>
          <w:rFonts w:ascii="Lato" w:hAnsi="Lato"/>
          <w:color w:val="000000" w:themeColor="text1"/>
        </w:rPr>
        <w:t>.</w:t>
      </w:r>
    </w:p>
    <w:p w14:paraId="2684CCFC" w14:textId="3880F2B0" w:rsidR="005769DD" w:rsidRDefault="005769DD" w:rsidP="0094509C">
      <w:pPr>
        <w:pStyle w:val="ListParagraph"/>
        <w:numPr>
          <w:ilvl w:val="0"/>
          <w:numId w:val="2"/>
        </w:numPr>
        <w:spacing w:line="360" w:lineRule="auto"/>
        <w:rPr>
          <w:rFonts w:ascii="Lato" w:hAnsi="Lato"/>
          <w:color w:val="000000" w:themeColor="text1"/>
        </w:rPr>
      </w:pPr>
      <w:r>
        <w:rPr>
          <w:rFonts w:ascii="Lato" w:hAnsi="Lato"/>
          <w:color w:val="000000" w:themeColor="text1"/>
        </w:rPr>
        <w:t>The U.S. has a progressive federal income tax system.</w:t>
      </w:r>
    </w:p>
    <w:p w14:paraId="37C8BD81" w14:textId="4D227A30" w:rsidR="008E4BBC" w:rsidRDefault="005769DD" w:rsidP="0094509C">
      <w:pPr>
        <w:pStyle w:val="ListParagraph"/>
        <w:numPr>
          <w:ilvl w:val="0"/>
          <w:numId w:val="2"/>
        </w:numPr>
        <w:spacing w:line="360" w:lineRule="auto"/>
        <w:rPr>
          <w:rFonts w:ascii="Lato" w:hAnsi="Lato"/>
          <w:color w:val="000000" w:themeColor="text1"/>
        </w:rPr>
      </w:pPr>
      <w:r>
        <w:rPr>
          <w:rFonts w:ascii="Lato" w:hAnsi="Lato"/>
          <w:color w:val="000000" w:themeColor="text1"/>
        </w:rPr>
        <w:t>High</w:t>
      </w:r>
      <w:r w:rsidR="00540895">
        <w:rPr>
          <w:rFonts w:ascii="Lato" w:hAnsi="Lato"/>
          <w:color w:val="000000" w:themeColor="text1"/>
        </w:rPr>
        <w:t xml:space="preserve"> income </w:t>
      </w:r>
      <w:r w:rsidR="000C5A75">
        <w:rPr>
          <w:rFonts w:ascii="Lato" w:hAnsi="Lato"/>
          <w:color w:val="000000" w:themeColor="text1"/>
        </w:rPr>
        <w:t>taxpayers</w:t>
      </w:r>
      <w:r w:rsidR="00540895">
        <w:rPr>
          <w:rFonts w:ascii="Lato" w:hAnsi="Lato"/>
          <w:color w:val="000000" w:themeColor="text1"/>
        </w:rPr>
        <w:t xml:space="preserve"> </w:t>
      </w:r>
      <w:r w:rsidR="003D24F8">
        <w:rPr>
          <w:rFonts w:ascii="Lato" w:hAnsi="Lato"/>
          <w:color w:val="000000" w:themeColor="text1"/>
        </w:rPr>
        <w:t xml:space="preserve">typically </w:t>
      </w:r>
      <w:r w:rsidR="00540895">
        <w:rPr>
          <w:rFonts w:ascii="Lato" w:hAnsi="Lato"/>
          <w:color w:val="000000" w:themeColor="text1"/>
        </w:rPr>
        <w:t xml:space="preserve">pay a higher average tax rate and are subject to </w:t>
      </w:r>
      <w:r w:rsidR="003D24F8">
        <w:rPr>
          <w:rFonts w:ascii="Lato" w:hAnsi="Lato"/>
          <w:color w:val="000000" w:themeColor="text1"/>
        </w:rPr>
        <w:t>higher top</w:t>
      </w:r>
      <w:r w:rsidR="00540895">
        <w:rPr>
          <w:rFonts w:ascii="Lato" w:hAnsi="Lato"/>
          <w:color w:val="000000" w:themeColor="text1"/>
        </w:rPr>
        <w:t xml:space="preserve"> marginal</w:t>
      </w:r>
      <w:r w:rsidR="003D24F8">
        <w:rPr>
          <w:rFonts w:ascii="Lato" w:hAnsi="Lato"/>
          <w:color w:val="000000" w:themeColor="text1"/>
        </w:rPr>
        <w:t xml:space="preserve"> income</w:t>
      </w:r>
      <w:r w:rsidR="00540895">
        <w:rPr>
          <w:rFonts w:ascii="Lato" w:hAnsi="Lato"/>
          <w:color w:val="000000" w:themeColor="text1"/>
        </w:rPr>
        <w:t xml:space="preserve"> tax rate</w:t>
      </w:r>
      <w:r w:rsidR="003D24F8">
        <w:rPr>
          <w:rFonts w:ascii="Lato" w:hAnsi="Lato"/>
          <w:color w:val="000000" w:themeColor="text1"/>
        </w:rPr>
        <w:t>s as their income climbs</w:t>
      </w:r>
      <w:r w:rsidR="000C5A75">
        <w:rPr>
          <w:rFonts w:ascii="Lato" w:hAnsi="Lato"/>
          <w:color w:val="000000" w:themeColor="text1"/>
        </w:rPr>
        <w:t>.</w:t>
      </w:r>
    </w:p>
    <w:p w14:paraId="29ED422F" w14:textId="77777777" w:rsidR="000C5A75" w:rsidRDefault="000C5A75" w:rsidP="0094509C">
      <w:pPr>
        <w:pStyle w:val="ListParagraph"/>
        <w:numPr>
          <w:ilvl w:val="0"/>
          <w:numId w:val="2"/>
        </w:numPr>
        <w:spacing w:line="360" w:lineRule="auto"/>
        <w:rPr>
          <w:rFonts w:ascii="Lato" w:hAnsi="Lato"/>
          <w:color w:val="000000" w:themeColor="text1"/>
        </w:rPr>
      </w:pPr>
      <w:r w:rsidRPr="000C5A75">
        <w:rPr>
          <w:rFonts w:ascii="Lato" w:hAnsi="Lato"/>
          <w:color w:val="000000" w:themeColor="text1"/>
        </w:rPr>
        <w:t>Effective marginal tax rates are important to calculate because they show how workers may be discouraged to work additional hours and earn higher incomes.</w:t>
      </w:r>
    </w:p>
    <w:p w14:paraId="4D70F55C" w14:textId="6F945E29" w:rsidR="000C5A75" w:rsidRPr="0094509C" w:rsidRDefault="000C5A75" w:rsidP="0094509C">
      <w:pPr>
        <w:pStyle w:val="ListParagraph"/>
        <w:numPr>
          <w:ilvl w:val="0"/>
          <w:numId w:val="2"/>
        </w:numPr>
        <w:spacing w:line="360" w:lineRule="auto"/>
        <w:rPr>
          <w:rFonts w:ascii="Lato" w:hAnsi="Lato"/>
          <w:color w:val="000000" w:themeColor="text1"/>
        </w:rPr>
      </w:pPr>
      <w:r w:rsidRPr="000C5A75">
        <w:rPr>
          <w:rFonts w:ascii="Lato" w:hAnsi="Lato"/>
          <w:color w:val="000000" w:themeColor="text1"/>
        </w:rPr>
        <w:t>Higher effective marginal tax rates disincentivize additional work at the margin, which translates into lower productivity and economic growth overall.</w:t>
      </w:r>
    </w:p>
    <w:sectPr w:rsidR="000C5A75" w:rsidRPr="009450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35pt;height:147pt" o:bullet="t">
        <v:imagedata r:id="rId1" o:title="Screenshot_31_LI"/>
      </v:shape>
    </w:pict>
  </w:numPicBullet>
  <w:abstractNum w:abstractNumId="0" w15:restartNumberingAfterBreak="0">
    <w:nsid w:val="5FAB650D"/>
    <w:multiLevelType w:val="hybridMultilevel"/>
    <w:tmpl w:val="F34411C6"/>
    <w:lvl w:ilvl="0" w:tplc="CB7C0DF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051747"/>
    <w:multiLevelType w:val="hybridMultilevel"/>
    <w:tmpl w:val="4F3E8DF8"/>
    <w:lvl w:ilvl="0" w:tplc="CB7C0DF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602"/>
    <w:rsid w:val="000C5A75"/>
    <w:rsid w:val="002B6E64"/>
    <w:rsid w:val="003D24F8"/>
    <w:rsid w:val="00540895"/>
    <w:rsid w:val="005769DD"/>
    <w:rsid w:val="005A2DCA"/>
    <w:rsid w:val="00606E13"/>
    <w:rsid w:val="008E4BBC"/>
    <w:rsid w:val="0094509C"/>
    <w:rsid w:val="009F7D07"/>
    <w:rsid w:val="00B91C69"/>
    <w:rsid w:val="00C22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A0DBF"/>
  <w15:chartTrackingRefBased/>
  <w15:docId w15:val="{F8377445-A1D0-462A-AA04-32F2CD424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509C"/>
    <w:pPr>
      <w:ind w:left="720"/>
      <w:contextualSpacing/>
    </w:pPr>
  </w:style>
  <w:style w:type="character" w:styleId="CommentReference">
    <w:name w:val="annotation reference"/>
    <w:basedOn w:val="DefaultParagraphFont"/>
    <w:uiPriority w:val="99"/>
    <w:semiHidden/>
    <w:unhideWhenUsed/>
    <w:rsid w:val="003D24F8"/>
    <w:rPr>
      <w:sz w:val="16"/>
      <w:szCs w:val="16"/>
    </w:rPr>
  </w:style>
  <w:style w:type="paragraph" w:styleId="CommentText">
    <w:name w:val="annotation text"/>
    <w:basedOn w:val="Normal"/>
    <w:link w:val="CommentTextChar"/>
    <w:uiPriority w:val="99"/>
    <w:semiHidden/>
    <w:unhideWhenUsed/>
    <w:rsid w:val="003D24F8"/>
    <w:pPr>
      <w:spacing w:line="240" w:lineRule="auto"/>
    </w:pPr>
    <w:rPr>
      <w:sz w:val="20"/>
      <w:szCs w:val="20"/>
    </w:rPr>
  </w:style>
  <w:style w:type="character" w:customStyle="1" w:styleId="CommentTextChar">
    <w:name w:val="Comment Text Char"/>
    <w:basedOn w:val="DefaultParagraphFont"/>
    <w:link w:val="CommentText"/>
    <w:uiPriority w:val="99"/>
    <w:semiHidden/>
    <w:rsid w:val="003D24F8"/>
    <w:rPr>
      <w:sz w:val="20"/>
      <w:szCs w:val="20"/>
    </w:rPr>
  </w:style>
  <w:style w:type="paragraph" w:styleId="CommentSubject">
    <w:name w:val="annotation subject"/>
    <w:basedOn w:val="CommentText"/>
    <w:next w:val="CommentText"/>
    <w:link w:val="CommentSubjectChar"/>
    <w:uiPriority w:val="99"/>
    <w:semiHidden/>
    <w:unhideWhenUsed/>
    <w:rsid w:val="003D24F8"/>
    <w:rPr>
      <w:b/>
      <w:bCs/>
    </w:rPr>
  </w:style>
  <w:style w:type="character" w:customStyle="1" w:styleId="CommentSubjectChar">
    <w:name w:val="Comment Subject Char"/>
    <w:basedOn w:val="CommentTextChar"/>
    <w:link w:val="CommentSubject"/>
    <w:uiPriority w:val="99"/>
    <w:semiHidden/>
    <w:rsid w:val="003D24F8"/>
    <w:rPr>
      <w:b/>
      <w:bCs/>
      <w:sz w:val="20"/>
      <w:szCs w:val="20"/>
    </w:rPr>
  </w:style>
  <w:style w:type="paragraph" w:styleId="Revision">
    <w:name w:val="Revision"/>
    <w:hidden/>
    <w:uiPriority w:val="99"/>
    <w:semiHidden/>
    <w:rsid w:val="005769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258</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Callaway</dc:creator>
  <cp:keywords/>
  <dc:description/>
  <cp:lastModifiedBy>Zoe Callaway</cp:lastModifiedBy>
  <cp:revision>2</cp:revision>
  <dcterms:created xsi:type="dcterms:W3CDTF">2022-02-24T21:23:00Z</dcterms:created>
  <dcterms:modified xsi:type="dcterms:W3CDTF">2022-02-24T21:23:00Z</dcterms:modified>
</cp:coreProperties>
</file>